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0" w:rsidRDefault="00AC4776">
      <w:pPr>
        <w:spacing w:after="9" w:line="240" w:lineRule="auto"/>
        <w:ind w:left="-5" w:right="33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King Edward VI Camp Hill School for Girls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after="9" w:line="240" w:lineRule="auto"/>
        <w:ind w:left="-5" w:right="2022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NUMERACY POLICY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after="9" w:line="240" w:lineRule="auto"/>
        <w:ind w:left="-5" w:right="2022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Rationale: </w:t>
      </w:r>
    </w:p>
    <w:p w:rsidR="004B11D0" w:rsidRDefault="00AC4776">
      <w:p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Numeracy is a proficiency which is developed mainly in mathematics but also in other subjects. It is more than an ability to do basic arithmetic. It involves developing confidence </w:t>
      </w:r>
      <w:r>
        <w:rPr>
          <w:rFonts w:asciiTheme="minorHAnsi" w:hAnsiTheme="minorHAnsi"/>
        </w:rPr>
        <w:t>with numbers and measures. It requires an understanding of the number system, a repertoire of mathematical techniques, and an inclination and ability to solve quantitative or spatial problems in a range of contexts. Numeracy also demands understanding of t</w:t>
      </w:r>
      <w:r>
        <w:rPr>
          <w:rFonts w:asciiTheme="minorHAnsi" w:hAnsiTheme="minorHAnsi"/>
        </w:rPr>
        <w:t>he ways in which data are gathered by counting and measuring, and presented in graphs, diagrams, charts and tables.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Our policy will enable pupils to transfer their skills from mathematics lessons into other subject areas.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numPr>
          <w:ilvl w:val="0"/>
          <w:numId w:val="1"/>
        </w:numPr>
        <w:spacing w:after="9" w:line="240" w:lineRule="auto"/>
        <w:ind w:right="2022" w:hanging="719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Aims and Objectives</w:t>
      </w:r>
    </w:p>
    <w:p w:rsidR="004B11D0" w:rsidRDefault="00AC4776">
      <w:pPr>
        <w:pStyle w:val="ListParagraph"/>
        <w:numPr>
          <w:ilvl w:val="0"/>
          <w:numId w:val="4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To secure hi</w:t>
      </w:r>
      <w:r>
        <w:rPr>
          <w:rFonts w:asciiTheme="minorHAnsi" w:hAnsiTheme="minorHAnsi"/>
        </w:rPr>
        <w:t>gh standards in numeracy for pupils across the school.  This includes:</w:t>
      </w:r>
    </w:p>
    <w:p w:rsidR="004B11D0" w:rsidRDefault="00AC4776">
      <w:pPr>
        <w:numPr>
          <w:ilvl w:val="1"/>
          <w:numId w:val="1"/>
        </w:numPr>
        <w:spacing w:line="240" w:lineRule="auto"/>
        <w:ind w:right="0" w:hanging="270"/>
        <w:rPr>
          <w:rFonts w:asciiTheme="minorHAnsi" w:hAnsiTheme="minorHAnsi"/>
        </w:rPr>
      </w:pPr>
      <w:r>
        <w:rPr>
          <w:rFonts w:asciiTheme="minorHAnsi" w:hAnsiTheme="minorHAnsi"/>
        </w:rPr>
        <w:t>improving accuracy, particularly in calculation, measurement and graphical work;</w:t>
      </w:r>
    </w:p>
    <w:p w:rsidR="004B11D0" w:rsidRDefault="00AC4776">
      <w:pPr>
        <w:numPr>
          <w:ilvl w:val="1"/>
          <w:numId w:val="1"/>
        </w:numPr>
        <w:spacing w:line="240" w:lineRule="auto"/>
        <w:ind w:right="0" w:hanging="270"/>
        <w:rPr>
          <w:rFonts w:asciiTheme="minorHAnsi" w:hAnsiTheme="minorHAnsi"/>
        </w:rPr>
      </w:pPr>
      <w:r>
        <w:rPr>
          <w:rFonts w:asciiTheme="minorHAnsi" w:hAnsiTheme="minorHAnsi"/>
        </w:rPr>
        <w:t>improving interpretation and presentation of graphs, charts and diagrams;</w:t>
      </w:r>
    </w:p>
    <w:p w:rsidR="004B11D0" w:rsidRDefault="00AC4776">
      <w:pPr>
        <w:numPr>
          <w:ilvl w:val="1"/>
          <w:numId w:val="1"/>
        </w:numPr>
        <w:spacing w:line="240" w:lineRule="auto"/>
        <w:ind w:right="0" w:hanging="270"/>
        <w:rPr>
          <w:rFonts w:asciiTheme="minorHAnsi" w:hAnsiTheme="minorHAnsi"/>
        </w:rPr>
      </w:pPr>
      <w:r>
        <w:rPr>
          <w:rFonts w:asciiTheme="minorHAnsi" w:hAnsiTheme="minorHAnsi"/>
        </w:rPr>
        <w:t>improving reasoning and proble</w:t>
      </w:r>
      <w:r>
        <w:rPr>
          <w:rFonts w:asciiTheme="minorHAnsi" w:hAnsiTheme="minorHAnsi"/>
        </w:rPr>
        <w:t>m solving;</w:t>
      </w:r>
    </w:p>
    <w:p w:rsidR="004B11D0" w:rsidRDefault="00AC4776">
      <w:pPr>
        <w:numPr>
          <w:ilvl w:val="1"/>
          <w:numId w:val="1"/>
        </w:numPr>
        <w:spacing w:line="240" w:lineRule="auto"/>
        <w:ind w:right="0" w:hanging="270"/>
        <w:rPr>
          <w:rFonts w:asciiTheme="minorHAnsi" w:hAnsiTheme="minorHAnsi"/>
        </w:rPr>
      </w:pPr>
      <w:r>
        <w:rPr>
          <w:rFonts w:asciiTheme="minorHAnsi" w:hAnsiTheme="minorHAnsi"/>
        </w:rPr>
        <w:t>assisting the transfer of pupils’ knowledge, skills and understanding between subjects.</w:t>
      </w:r>
    </w:p>
    <w:p w:rsidR="004B11D0" w:rsidRDefault="004B11D0">
      <w:pPr>
        <w:spacing w:line="240" w:lineRule="auto"/>
        <w:ind w:left="1335" w:right="0" w:firstLine="0"/>
        <w:rPr>
          <w:rFonts w:asciiTheme="minorHAnsi" w:hAnsiTheme="minorHAnsi"/>
        </w:rPr>
      </w:pPr>
    </w:p>
    <w:p w:rsidR="004B11D0" w:rsidRDefault="00AC4776">
      <w:pPr>
        <w:pStyle w:val="ListParagraph"/>
        <w:numPr>
          <w:ilvl w:val="0"/>
          <w:numId w:val="4"/>
        </w:numPr>
        <w:spacing w:after="0" w:line="240" w:lineRule="auto"/>
        <w:ind w:right="3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record good practice of the use of numeracy in departments, including ensuring that: 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all staff have a positive attitude to numeracy and actively promote</w:t>
      </w:r>
      <w:r>
        <w:rPr>
          <w:rFonts w:asciiTheme="minorHAnsi" w:hAnsiTheme="minorHAnsi"/>
        </w:rPr>
        <w:t xml:space="preserve"> the development of numeracy across the curriculum;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all staff, but particularly those in key departments (e.g. Science, Geography and Technology), are aware of the range of mathematical skills that pupils bring to their lessons;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staff in departments are aw</w:t>
      </w:r>
      <w:r>
        <w:rPr>
          <w:rFonts w:asciiTheme="minorHAnsi" w:hAnsiTheme="minorHAnsi"/>
        </w:rPr>
        <w:t>are of the mathematical demands of their own subject and ensure that this is reflected in their scheme of work;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staff in departments provide opportunities for pupils to develop and apply their numeracy skills in their own subject;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pupils do not experience </w:t>
      </w:r>
      <w:r>
        <w:rPr>
          <w:rFonts w:asciiTheme="minorHAnsi" w:hAnsiTheme="minorHAnsi"/>
        </w:rPr>
        <w:t>any discontinuity from subject to subject either in the way certain mathematical methods and strategies are taught, or in relation to the level of difficulty of mathematics expected of them.</w:t>
      </w:r>
    </w:p>
    <w:p w:rsidR="004B11D0" w:rsidRDefault="004B11D0">
      <w:pPr>
        <w:spacing w:line="240" w:lineRule="auto"/>
        <w:ind w:right="0"/>
        <w:rPr>
          <w:rFonts w:asciiTheme="minorHAnsi" w:hAnsiTheme="minorHAnsi"/>
        </w:rPr>
      </w:pPr>
    </w:p>
    <w:p w:rsidR="004B11D0" w:rsidRDefault="00AC4776">
      <w:p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achieve these aims the school is committed to: 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the ongoing t</w:t>
      </w:r>
      <w:r>
        <w:rPr>
          <w:rFonts w:asciiTheme="minorHAnsi" w:hAnsiTheme="minorHAnsi"/>
        </w:rPr>
        <w:t>raining of staff in numeracy, both at a whole school level and at department level;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promoting a positive image of the value of being numerate;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boosting pupil self-esteem through the reward systems in school;</w:t>
      </w:r>
    </w:p>
    <w:p w:rsidR="004B11D0" w:rsidRDefault="00AC4776">
      <w:pPr>
        <w:numPr>
          <w:ilvl w:val="1"/>
          <w:numId w:val="2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not</w:t>
      </w:r>
      <w:proofErr w:type="gramEnd"/>
      <w:r>
        <w:rPr>
          <w:rFonts w:asciiTheme="minorHAnsi" w:hAnsiTheme="minorHAnsi"/>
        </w:rPr>
        <w:t xml:space="preserve"> reinforcing stereotypes in line with the Equ</w:t>
      </w:r>
      <w:r>
        <w:rPr>
          <w:rFonts w:asciiTheme="minorHAnsi" w:hAnsiTheme="minorHAnsi"/>
        </w:rPr>
        <w:t>al Opportunities Policy.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numPr>
          <w:ilvl w:val="0"/>
          <w:numId w:val="3"/>
        </w:numPr>
        <w:spacing w:after="9" w:line="240" w:lineRule="auto"/>
        <w:ind w:right="2022" w:hanging="719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Roles and Responsibilities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Numeracy developments will be co-ordinated and documented by the Mathematics Subject Leader supported by the curriculum leaders.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Mathematics Subject Leader is responsible for regularly auditing the </w:t>
      </w:r>
      <w:r>
        <w:rPr>
          <w:rFonts w:asciiTheme="minorHAnsi" w:hAnsiTheme="minorHAnsi"/>
        </w:rPr>
        <w:t>needs of other departments and ensuring that the Mathematics department schemes of work provide appropriate opportunities for students to develop the numeracy skills required across the school;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Departments will be expected to have a statement on numeracy i</w:t>
      </w:r>
      <w:r>
        <w:rPr>
          <w:rFonts w:asciiTheme="minorHAnsi" w:hAnsiTheme="minorHAnsi"/>
        </w:rPr>
        <w:t>n their departmental handbook and adhere to this at all times.</w:t>
      </w:r>
    </w:p>
    <w:p w:rsidR="004B11D0" w:rsidRDefault="004B11D0">
      <w:pPr>
        <w:spacing w:after="0" w:line="240" w:lineRule="auto"/>
        <w:ind w:left="1136" w:right="0" w:firstLine="0"/>
        <w:jc w:val="left"/>
        <w:rPr>
          <w:rFonts w:asciiTheme="minorHAnsi" w:hAnsiTheme="minorHAnsi"/>
        </w:rPr>
      </w:pPr>
    </w:p>
    <w:p w:rsidR="004B11D0" w:rsidRDefault="00AC4776">
      <w:pPr>
        <w:numPr>
          <w:ilvl w:val="0"/>
          <w:numId w:val="3"/>
        </w:numPr>
        <w:spacing w:after="9" w:line="240" w:lineRule="auto"/>
        <w:ind w:right="2022" w:hanging="719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Principles and Practice: Mathematics Department Provision</w:t>
      </w:r>
    </w:p>
    <w:p w:rsidR="004B11D0" w:rsidRDefault="00AC4776">
      <w:pPr>
        <w:spacing w:after="9" w:line="240" w:lineRule="auto"/>
        <w:ind w:left="719" w:right="2022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The Mathematics Department is committed to</w:t>
      </w:r>
      <w:r>
        <w:rPr>
          <w:rFonts w:asciiTheme="minorHAnsi" w:hAnsiTheme="minorHAnsi"/>
        </w:rPr>
        <w:t xml:space="preserve">: 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building on KS2 teaching approaches;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revising and updating its KS3 schemes of work in l</w:t>
      </w:r>
      <w:r>
        <w:rPr>
          <w:rFonts w:asciiTheme="minorHAnsi" w:hAnsiTheme="minorHAnsi"/>
        </w:rPr>
        <w:t>ine with national changes;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focusing on setting individual pupil targets as appropriate and monitoring the attainment and progress of pupils through school procedures;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identifying any pupils for whom numeracy is a problem and arranging suitable support;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lia</w:t>
      </w:r>
      <w:r>
        <w:rPr>
          <w:rFonts w:asciiTheme="minorHAnsi" w:hAnsiTheme="minorHAnsi"/>
        </w:rPr>
        <w:t>ising with other departments on the understanding that the development of  pupils' numeracy is a shared responsibility;</w:t>
      </w:r>
    </w:p>
    <w:p w:rsidR="004B11D0" w:rsidRDefault="004B11D0">
      <w:pPr>
        <w:spacing w:after="0" w:line="240" w:lineRule="auto"/>
        <w:ind w:left="108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after="9" w:line="240" w:lineRule="auto"/>
        <w:ind w:left="730" w:right="2022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Mathematics Department recognises that: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pupils’ attainment in numeracy is a factor in their capacity to learn in subjects across t</w:t>
      </w:r>
      <w:r>
        <w:rPr>
          <w:rFonts w:asciiTheme="minorHAnsi" w:hAnsiTheme="minorHAnsi"/>
        </w:rPr>
        <w:t>he curriculum;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individual subjects create different mathematical demands, which need to be identified and addressed within those subjects;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other</w:t>
      </w:r>
      <w:proofErr w:type="gramEnd"/>
      <w:r>
        <w:rPr>
          <w:rFonts w:asciiTheme="minorHAnsi" w:hAnsiTheme="minorHAnsi"/>
        </w:rPr>
        <w:t xml:space="preserve"> departments have an important role to play in supporting pupils' mathematical development.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numPr>
          <w:ilvl w:val="0"/>
          <w:numId w:val="3"/>
        </w:numPr>
        <w:spacing w:after="9" w:line="240" w:lineRule="auto"/>
        <w:ind w:right="2022" w:hanging="719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Principles and </w:t>
      </w:r>
      <w:r>
        <w:rPr>
          <w:rFonts w:asciiTheme="minorHAnsi" w:hAnsiTheme="minorHAnsi"/>
          <w:b/>
        </w:rPr>
        <w:t>Practice: Cross-Curricular Provision</w:t>
      </w:r>
    </w:p>
    <w:p w:rsidR="004B11D0" w:rsidRDefault="00AC4776">
      <w:pPr>
        <w:spacing w:after="9" w:line="240" w:lineRule="auto"/>
        <w:ind w:left="719" w:right="2022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Departments should: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identify numeracy skills required in their schemes of work;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liaise with the Mathematics Department to ensure mathematical requirements are known, together with pupils’ likely methods of solution;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</w:t>
      </w:r>
      <w:r>
        <w:rPr>
          <w:rFonts w:asciiTheme="minorHAnsi" w:hAnsiTheme="minorHAnsi"/>
        </w:rPr>
        <w:t>sure</w:t>
      </w:r>
      <w:proofErr w:type="gramEnd"/>
      <w:r>
        <w:rPr>
          <w:rFonts w:asciiTheme="minorHAnsi" w:hAnsiTheme="minorHAnsi"/>
        </w:rPr>
        <w:t xml:space="preserve"> that all department members are confident in the delivery of any numeracy skills required, using maths department members for CPD if needed.</w:t>
      </w:r>
    </w:p>
    <w:p w:rsidR="004B11D0" w:rsidRDefault="004B11D0">
      <w:pPr>
        <w:spacing w:after="0" w:line="240" w:lineRule="auto"/>
        <w:ind w:left="26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after="9" w:line="240" w:lineRule="auto"/>
        <w:ind w:left="730" w:right="2022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Teachers of all subjects should: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use and explain mathematical vocabulary whenever it will enhance pupils' kn</w:t>
      </w:r>
      <w:r>
        <w:rPr>
          <w:rFonts w:asciiTheme="minorHAnsi" w:hAnsiTheme="minorHAnsi"/>
        </w:rPr>
        <w:t>owledge, skills and understanding of the topic;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use and explain appropriate calculations whenever it will enhance pupils' knowledge and understanding of the topic;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liaise with the Mathematics Subject Leader if mathematical skills are required earlier than </w:t>
      </w:r>
      <w:r>
        <w:rPr>
          <w:rFonts w:asciiTheme="minorHAnsi" w:hAnsiTheme="minorHAnsi"/>
        </w:rPr>
        <w:t>met in the mathematics schemes of work;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not attempt to impose unfamiliar methods on pupils that are different from those used by the pupils (unless the pupil's method doesn't work);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encourage the use of mathematical methods that have been taught in </w:t>
      </w:r>
      <w:r>
        <w:rPr>
          <w:rFonts w:asciiTheme="minorHAnsi" w:hAnsiTheme="minorHAnsi"/>
        </w:rPr>
        <w:t>mathematics lessons and not resort to "tricks", as otherwise transfer of skills will not take place and the opportunities for pupils to apply their mathematics will be reduced;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never</w:t>
      </w:r>
      <w:proofErr w:type="gramEnd"/>
      <w:r>
        <w:rPr>
          <w:rFonts w:asciiTheme="minorHAnsi" w:hAnsiTheme="minorHAnsi"/>
        </w:rPr>
        <w:t xml:space="preserve"> disparage a method used by pupils because it appears different from what </w:t>
      </w:r>
      <w:r>
        <w:rPr>
          <w:rFonts w:asciiTheme="minorHAnsi" w:hAnsiTheme="minorHAnsi"/>
        </w:rPr>
        <w:t>the teacher was taught or uses.</w:t>
      </w:r>
    </w:p>
    <w:p w:rsidR="004B11D0" w:rsidRDefault="004B11D0">
      <w:pPr>
        <w:spacing w:after="0" w:line="240" w:lineRule="auto"/>
        <w:ind w:left="720" w:right="0" w:firstLine="0"/>
        <w:jc w:val="left"/>
        <w:rPr>
          <w:rFonts w:asciiTheme="minorHAnsi" w:hAnsiTheme="minorHAnsi"/>
        </w:rPr>
      </w:pPr>
    </w:p>
    <w:p w:rsidR="004B11D0" w:rsidRDefault="00AC4776">
      <w:pPr>
        <w:tabs>
          <w:tab w:val="center" w:pos="420"/>
          <w:tab w:val="center" w:pos="2515"/>
        </w:tabs>
        <w:spacing w:after="9" w:line="240" w:lineRule="auto"/>
        <w:ind w:left="72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Teachers of all subjects should aim to: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agree the methods of calculation to be used;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agree the methods of drawing graphs;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agree on what can be expected and when;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agree to alert the mathematics department when problems </w:t>
      </w:r>
      <w:r>
        <w:rPr>
          <w:rFonts w:asciiTheme="minorHAnsi" w:hAnsiTheme="minorHAnsi"/>
        </w:rPr>
        <w:t>arise so that a joint approach may be taken;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try to ensure that skills are transferred from one lesson to another;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share similar expectations;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try to use the same strategies and terminology;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remind</w:t>
      </w:r>
      <w:proofErr w:type="gramEnd"/>
      <w:r>
        <w:rPr>
          <w:rFonts w:asciiTheme="minorHAnsi" w:hAnsiTheme="minorHAnsi"/>
        </w:rPr>
        <w:t xml:space="preserve"> pupils to apply skills that someone else has taught them.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encourage</w:t>
      </w:r>
      <w:proofErr w:type="gramEnd"/>
      <w:r>
        <w:rPr>
          <w:rFonts w:asciiTheme="minorHAnsi" w:hAnsiTheme="minorHAnsi"/>
        </w:rPr>
        <w:t xml:space="preserve"> a view that pupils can manage calculations by thinking about them and persevering.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tabs>
          <w:tab w:val="center" w:pos="2953"/>
        </w:tabs>
        <w:spacing w:after="9" w:line="240" w:lineRule="auto"/>
        <w:ind w:left="72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Teachers of all subjects should expect pupils to: 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correct use of mathematical symbols and vocabulary when providing oral and written answers or when asking </w:t>
      </w:r>
      <w:r>
        <w:rPr>
          <w:rFonts w:asciiTheme="minorHAnsi" w:hAnsiTheme="minorHAnsi"/>
        </w:rPr>
        <w:t>questions;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set</w:t>
      </w:r>
      <w:proofErr w:type="gramEnd"/>
      <w:r>
        <w:rPr>
          <w:rFonts w:asciiTheme="minorHAnsi" w:hAnsiTheme="minorHAnsi"/>
        </w:rPr>
        <w:t xml:space="preserve"> their work out systematically and with care; (calculations should be set out so that the method is clear. Graphs should be drawn with suitable labelled axes and have a title);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r>
        <w:rPr>
          <w:rFonts w:asciiTheme="minorHAnsi" w:hAnsiTheme="minorHAnsi"/>
        </w:rPr>
        <w:t>learn multiplication tables and other facts; (teachers should app</w:t>
      </w:r>
      <w:r>
        <w:rPr>
          <w:rFonts w:asciiTheme="minorHAnsi" w:hAnsiTheme="minorHAnsi"/>
        </w:rPr>
        <w:t>ear surprised when a pupil does not know her tables and suggest that the pupil really ought to learn them);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use</w:t>
      </w:r>
      <w:proofErr w:type="gramEnd"/>
      <w:r>
        <w:rPr>
          <w:rFonts w:asciiTheme="minorHAnsi" w:hAnsiTheme="minorHAnsi"/>
        </w:rPr>
        <w:t xml:space="preserve"> mental arithmetic or a calculator as appropriate in calculations. In all cases a mental estimate of a calculation is to be encouraged; (it will be helpful if teachers can take the time to ask pupils how they worked out a calculation and listen to their re</w:t>
      </w:r>
      <w:r>
        <w:rPr>
          <w:rFonts w:asciiTheme="minorHAnsi" w:hAnsiTheme="minorHAnsi"/>
        </w:rPr>
        <w:t>sponse);</w:t>
      </w:r>
    </w:p>
    <w:p w:rsidR="004B11D0" w:rsidRDefault="00AC4776">
      <w:pPr>
        <w:numPr>
          <w:ilvl w:val="1"/>
          <w:numId w:val="3"/>
        </w:numPr>
        <w:spacing w:line="240" w:lineRule="auto"/>
        <w:ind w:right="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not</w:t>
      </w:r>
      <w:proofErr w:type="gramEnd"/>
      <w:r>
        <w:rPr>
          <w:rFonts w:asciiTheme="minorHAnsi" w:hAnsiTheme="minorHAnsi"/>
        </w:rPr>
        <w:t xml:space="preserve"> to use a calculator inappropriately (Mental skills are encouraged).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after="9" w:line="240" w:lineRule="auto"/>
        <w:ind w:left="11" w:right="2024" w:hanging="11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Management of Provision and Quality Assurance: </w:t>
      </w:r>
    </w:p>
    <w:p w:rsidR="004B11D0" w:rsidRDefault="00AC4776">
      <w:pPr>
        <w:spacing w:line="240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The Curriculum Deputy will monitor and evaluate the impact of this policy.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line="240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The policy will be reviewed on a three-yearly basi</w:t>
      </w:r>
      <w:r>
        <w:rPr>
          <w:rFonts w:asciiTheme="minorHAnsi" w:hAnsiTheme="minorHAnsi"/>
        </w:rPr>
        <w:t xml:space="preserve">s. </w:t>
      </w:r>
    </w:p>
    <w:p w:rsidR="004B11D0" w:rsidRDefault="004B11D0">
      <w:pPr>
        <w:spacing w:after="0" w:line="240" w:lineRule="auto"/>
        <w:ind w:left="0" w:right="0" w:firstLine="0"/>
        <w:jc w:val="left"/>
        <w:rPr>
          <w:rFonts w:asciiTheme="minorHAnsi" w:hAnsiTheme="minorHAnsi"/>
        </w:rPr>
      </w:pPr>
    </w:p>
    <w:p w:rsidR="004B11D0" w:rsidRDefault="00AC4776">
      <w:p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July 2016</w:t>
      </w:r>
    </w:p>
    <w:sectPr w:rsidR="004B11D0" w:rsidSect="00AC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76" w:rsidRDefault="00AC4776" w:rsidP="00AC4776">
      <w:pPr>
        <w:spacing w:after="0" w:line="240" w:lineRule="auto"/>
      </w:pPr>
      <w:r>
        <w:separator/>
      </w:r>
    </w:p>
  </w:endnote>
  <w:endnote w:type="continuationSeparator" w:id="0">
    <w:p w:rsidR="00AC4776" w:rsidRDefault="00AC4776" w:rsidP="00AC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76" w:rsidRDefault="00AC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76" w:rsidRDefault="00AC4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76" w:rsidRDefault="00AC4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76" w:rsidRDefault="00AC4776" w:rsidP="00AC4776">
      <w:pPr>
        <w:spacing w:after="0" w:line="240" w:lineRule="auto"/>
      </w:pPr>
      <w:r>
        <w:separator/>
      </w:r>
    </w:p>
  </w:footnote>
  <w:footnote w:type="continuationSeparator" w:id="0">
    <w:p w:rsidR="00AC4776" w:rsidRDefault="00AC4776" w:rsidP="00AC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76" w:rsidRDefault="00AC4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017997"/>
      <w:docPartObj>
        <w:docPartGallery w:val="Watermarks"/>
        <w:docPartUnique/>
      </w:docPartObj>
    </w:sdtPr>
    <w:sdtContent>
      <w:p w:rsidR="00AC4776" w:rsidRDefault="00AC47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76" w:rsidRDefault="00AC4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10BD"/>
    <w:multiLevelType w:val="hybridMultilevel"/>
    <w:tmpl w:val="BBCE42D0"/>
    <w:lvl w:ilvl="0" w:tplc="B394AA2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C84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64D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AE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AB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488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8C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CAA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24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D44BB"/>
    <w:multiLevelType w:val="hybridMultilevel"/>
    <w:tmpl w:val="F990951C"/>
    <w:lvl w:ilvl="0" w:tplc="AB2A1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613101"/>
    <w:multiLevelType w:val="hybridMultilevel"/>
    <w:tmpl w:val="79BA541E"/>
    <w:lvl w:ilvl="0" w:tplc="9AD466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E42CC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667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CEE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0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E7F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69E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C5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DE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252CD"/>
    <w:multiLevelType w:val="hybridMultilevel"/>
    <w:tmpl w:val="94A8570A"/>
    <w:lvl w:ilvl="0" w:tplc="B026577E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C8F1A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4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AA0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63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259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6A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61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486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0"/>
    <w:rsid w:val="004B11D0"/>
    <w:rsid w:val="00A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F127B1E-F88B-4E71-B82E-2AA9F1C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3A2C-250B-46A4-B68D-D935A00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Numeracy Policy May 2011</vt:lpstr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Numeracy Policy May 2011</dc:title>
  <dc:subject/>
  <dc:creator>adt</dc:creator>
  <cp:keywords/>
  <cp:lastModifiedBy>Karen A. Stevens</cp:lastModifiedBy>
  <cp:revision>5</cp:revision>
  <cp:lastPrinted>2016-07-08T08:42:00Z</cp:lastPrinted>
  <dcterms:created xsi:type="dcterms:W3CDTF">2016-07-08T08:42:00Z</dcterms:created>
  <dcterms:modified xsi:type="dcterms:W3CDTF">2016-08-09T12:11:00Z</dcterms:modified>
</cp:coreProperties>
</file>